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uppressAutoHyphens w:val="true"/>
        <w:bidi w:val="0"/>
        <w:jc w:val="right"/>
        <w:rPr/>
      </w:pPr>
      <w:r>
        <w:rPr/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</w:rPr>
        <w:t>ZARZĄDZENIE NR IX/6/X/2026</w:t>
      </w:r>
      <w:r>
        <w:rPr/>
        <w:br/>
      </w:r>
      <w:r>
        <w:rPr>
          <w:rStyle w:val="Strong"/>
        </w:rPr>
        <w:t>BURMISTRZA MIASTA SZCZYTNO</w:t>
      </w:r>
      <w:r>
        <w:rPr/>
        <w:br/>
      </w:r>
      <w:r>
        <w:rPr>
          <w:rStyle w:val="Strong"/>
        </w:rPr>
        <w:t>z dnia 12 października 2026 r.</w:t>
      </w:r>
    </w:p>
    <w:p>
      <w:pPr>
        <w:pStyle w:val="BodyText"/>
        <w:suppressAutoHyphens w:val="true"/>
        <w:bidi w:val="0"/>
        <w:spacing w:lineRule="auto" w:line="276" w:before="0" w:after="140"/>
        <w:jc w:val="left"/>
        <w:rPr/>
      </w:pPr>
      <w:r>
        <w:rPr>
          <w:rStyle w:val="Strong"/>
        </w:rPr>
        <w:t>w sprawi</w:t>
      </w:r>
      <w:r>
        <w:rPr>
          <w:rStyle w:val="Strong"/>
          <w:color w:val="auto"/>
        </w:rPr>
        <w:t>e przeprowadzenia konsultacji społecznych dotyczących lokalizacji oraz założeń funkcjonalnych planowanego amfiteatru w Szczytnie</w:t>
      </w:r>
    </w:p>
    <w:p>
      <w:pPr>
        <w:pStyle w:val="BodyText"/>
        <w:suppressAutoHyphens w:val="true"/>
        <w:bidi w:val="0"/>
        <w:spacing w:lineRule="auto" w:line="276" w:before="0" w:after="140"/>
        <w:jc w:val="both"/>
        <w:rPr/>
      </w:pPr>
      <w:r>
        <w:rPr>
          <w:color w:val="auto"/>
        </w:rPr>
        <w:t xml:space="preserve">Na podstawie art. 5a ust. 1 oraz art. 30 ust. 1 ustawy z dnia 8 marca 1990 r. o samorządzie gminnym (Dz. U. z 2026 r. poz. 662 ze zm.), w związku z </w:t>
      </w:r>
      <w:r>
        <w:rPr>
          <w:strike w:val="false"/>
          <w:dstrike w:val="false"/>
          <w:color w:val="auto"/>
        </w:rPr>
        <w:t>§ 4 ust. 2 uchwały</w:t>
      </w:r>
      <w:r>
        <w:rPr>
          <w:color w:val="auto"/>
        </w:rPr>
        <w:t xml:space="preserve"> nr XXIX/225/2021 Rady Miejskiej w Szczytnie z dnia 29 kwietnia 2021 r. w sprawie zasad i trybu przeprowadzania konsultacji z mieszkańcami Miasta Szczytno</w:t>
      </w:r>
      <w:r>
        <w:rPr>
          <w:strike w:val="false"/>
          <w:dstrike w:val="false"/>
          <w:color w:val="auto"/>
        </w:rPr>
        <w:t xml:space="preserve"> (Dz. Urz. Woj. Warm.-Maz. z 2021 r. poz. 1954)</w:t>
      </w:r>
    </w:p>
    <w:p>
      <w:pPr>
        <w:pStyle w:val="BodyText"/>
        <w:suppressAutoHyphens w:val="true"/>
        <w:bidi w:val="0"/>
        <w:spacing w:lineRule="auto" w:line="276" w:before="0" w:after="140"/>
        <w:jc w:val="both"/>
        <w:rPr/>
      </w:pPr>
      <w:r>
        <w:rPr>
          <w:color w:val="auto"/>
        </w:rPr>
        <w:t>zarządzam, co następuje:</w:t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1.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Zarządza się przeprowadzenie konsultacji społecznych z mieszkańcami Miasta Szczytno dotyczących lokalizacji oraz założeń funkcjonalnych planowanego amfiteatru.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Celem konsultacji jest zebranie opinii, uwag i propozycji mieszkańców dotyczących:</w:t>
      </w:r>
    </w:p>
    <w:p>
      <w:pPr>
        <w:pStyle w:val="BodyText"/>
        <w:numPr>
          <w:ilvl w:val="1"/>
          <w:numId w:val="1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rekomendowanej lokalizacji amfiteatru w parku przy ul. Pasymskiej, nad Jeziorem Domowym Dużym;</w:t>
      </w:r>
    </w:p>
    <w:p>
      <w:pPr>
        <w:pStyle w:val="BodyText"/>
        <w:numPr>
          <w:ilvl w:val="1"/>
          <w:numId w:val="1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pozostałych lokalizacji przedstawionych w analizie wariantów;</w:t>
      </w:r>
    </w:p>
    <w:p>
      <w:pPr>
        <w:pStyle w:val="BodyText"/>
        <w:numPr>
          <w:ilvl w:val="1"/>
          <w:numId w:val="1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sposobu zagospodarowania terenu i funkcji planowanego obiektu;</w:t>
      </w:r>
    </w:p>
    <w:p>
      <w:pPr>
        <w:pStyle w:val="BodyText"/>
        <w:numPr>
          <w:ilvl w:val="1"/>
          <w:numId w:val="1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potrzeb mieszkańców oraz możliwego oddziaływania inwestycji na otoczenie.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Materiałem podlegającym konsultacjom jest analiza wariantów lokalizacji amfiteatru wraz z materiałami graficznymi przedstawiającymi rozpatrywane lokalizacje oraz założeniami funkcjonalnymi planowanego obiektu.</w:t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2.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Konsultacje obejmują obszar Miasta Szczytno</w:t>
      </w:r>
      <w:r>
        <w:rPr>
          <w:strike w:val="false"/>
          <w:dstrike w:val="false"/>
          <w:color w:val="auto"/>
        </w:rPr>
        <w:t xml:space="preserve"> i mają zasięg ogólnomiejski</w:t>
      </w:r>
      <w:r>
        <w:rPr>
          <w:color w:val="auto"/>
        </w:rPr>
        <w:t>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Do udziału w konsultacjach zaprasza się mieszkańców Miasta Szczytno.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Udział w konsultacjach jest dobrowolny.</w:t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3.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 xml:space="preserve">Konsultacje zostaną przeprowadzone w terminie </w:t>
      </w:r>
      <w:r>
        <w:rPr>
          <w:rStyle w:val="Strong"/>
          <w:color w:val="auto"/>
          <w:sz w:val="24"/>
          <w:szCs w:val="24"/>
        </w:rPr>
        <w:t>od 23 października 2026 r. do 6 listopada 2026 r.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Spotkanie informacyjno-konsultacyjne odbędzie się w dniu 26 października</w:t>
      </w:r>
      <w:r>
        <w:rPr>
          <w:strike w:val="false"/>
          <w:dstrike w:val="false"/>
          <w:color w:val="auto"/>
        </w:rPr>
        <w:t xml:space="preserve"> 2026</w:t>
      </w:r>
      <w:r>
        <w:rPr>
          <w:color w:val="auto"/>
        </w:rPr>
        <w:t xml:space="preserve"> r. </w:t>
      </w:r>
      <w:r>
        <w:rPr>
          <w:strike w:val="false"/>
          <w:dstrike w:val="false"/>
          <w:color w:val="auto"/>
        </w:rPr>
        <w:t>w</w:t>
      </w:r>
      <w:r>
        <w:rPr>
          <w:color w:val="auto"/>
        </w:rPr>
        <w:t xml:space="preserve"> godz. 14:00 do 15:00.</w:t>
      </w:r>
      <w:r>
        <w:rPr>
          <w:strike w:val="false"/>
          <w:dstrike w:val="false"/>
          <w:color w:val="auto"/>
        </w:rPr>
        <w:t xml:space="preserve"> w sali nr 128 Urzędu Miejskiego</w:t>
      </w:r>
      <w:r>
        <w:rPr>
          <w:color w:val="auto"/>
        </w:rPr>
        <w:t xml:space="preserve"> w Szczytnie</w:t>
      </w:r>
      <w:r>
        <w:rPr>
          <w:strike/>
          <w:color w:val="auto"/>
        </w:rPr>
        <w:t>.</w:t>
      </w:r>
      <w:r>
        <w:rPr>
          <w:strike w:val="false"/>
          <w:dstrike w:val="false"/>
          <w:color w:val="auto"/>
        </w:rPr>
        <w:t>, ul. Henryka Sienkiewicza 1.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 xml:space="preserve">Ankiety będą przyjmowane </w:t>
      </w:r>
      <w:r>
        <w:rPr>
          <w:rStyle w:val="Strong"/>
          <w:color w:val="auto"/>
          <w:sz w:val="24"/>
          <w:szCs w:val="24"/>
        </w:rPr>
        <w:t>od 23 października 2026 r. do 6 listopada 2026 r.</w:t>
      </w:r>
      <w:r>
        <w:rPr>
          <w:strike w:val="false"/>
          <w:dstrike w:val="false"/>
          <w:color w:val="auto"/>
        </w:rPr>
        <w:t>, przy czym ankiety w formie elektronicznej – do godz. 23.59 w dniu 6 listopada 2026 r., a ankiety papierowe – w godzinach pracy Urzędu.</w:t>
      </w:r>
    </w:p>
    <w:p>
      <w:pPr>
        <w:pStyle w:val="BodyText"/>
        <w:suppressAutoHyphens w:val="true"/>
        <w:bidi w:val="0"/>
        <w:jc w:val="center"/>
        <w:rPr>
          <w:color w:val="auto"/>
        </w:rPr>
      </w:pPr>
      <w:r>
        <w:rPr>
          <w:color w:val="auto"/>
        </w:rPr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4.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Konsultacje zostaną przeprowadzone w następujących formach:</w:t>
      </w:r>
    </w:p>
    <w:p>
      <w:pPr>
        <w:pStyle w:val="BodyText"/>
        <w:numPr>
          <w:ilvl w:val="1"/>
          <w:numId w:val="4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both"/>
        <w:rPr/>
      </w:pPr>
      <w:r>
        <w:rPr>
          <w:strike w:val="false"/>
          <w:dstrike w:val="false"/>
          <w:color w:val="auto"/>
        </w:rPr>
        <w:t>protokołowanego bezpośredniego</w:t>
      </w:r>
      <w:r>
        <w:rPr>
          <w:color w:val="auto"/>
        </w:rPr>
        <w:t xml:space="preserve"> spotkania informacyjno-konsultacyjnego</w:t>
      </w:r>
      <w:r>
        <w:rPr>
          <w:strike w:val="false"/>
          <w:dstrike w:val="false"/>
          <w:color w:val="auto"/>
        </w:rPr>
        <w:t xml:space="preserve"> z mieszkańcami, prowadzonego w sposób umożliwiający składanie wniosków i uwag</w:t>
      </w:r>
      <w:r>
        <w:rPr>
          <w:color w:val="auto"/>
        </w:rPr>
        <w:t>, obejmującego prezentację materiałów, dyskusję oraz zbieranie opinii i uwag;</w:t>
      </w:r>
    </w:p>
    <w:p>
      <w:pPr>
        <w:pStyle w:val="BodyText"/>
        <w:numPr>
          <w:ilvl w:val="1"/>
          <w:numId w:val="4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both"/>
        <w:rPr/>
      </w:pPr>
      <w:r>
        <w:rPr>
          <w:strike w:val="false"/>
          <w:dstrike w:val="false"/>
          <w:color w:val="auto"/>
        </w:rPr>
        <w:t>badania opinii mieszkańców poprzez wykorzystanie formularza ankietowego, udostępnionego w formie elektronicznej</w:t>
      </w:r>
      <w:r>
        <w:rPr>
          <w:color w:val="auto"/>
        </w:rPr>
        <w:t xml:space="preserve"> na stronie obywatel.miastoszczytno.pl</w:t>
      </w:r>
      <w:r>
        <w:rPr>
          <w:strike/>
          <w:color w:val="auto"/>
        </w:rPr>
        <w:t>;</w:t>
      </w:r>
      <w:r>
        <w:rPr>
          <w:strike w:val="false"/>
          <w:dstrike w:val="false"/>
          <w:color w:val="auto"/>
        </w:rPr>
        <w:t xml:space="preserve"> oraz w formie papierowej w Biurze Obsługi Urzędu Miejskiego w Szczytnie.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Wzór ankiety stanowi załącznik nr 1 do niniejszego zarządzenia.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Wypełnione ankiety papierowe należy składać w Biurze Obsługi Urzędu Miejskiego w Szczytnie (pokój nr 1), ul. Henryka Sienkiewicza 1, w godzinach pracy Urzędu.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Każdy uczestnik może złożyć jedną ankietę, wybierając formę elektroniczną albo                  papierową. Złożenie ankiety nie wyłącza możliwości udziału w dyskusji podczas spotkania.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O zachowaniu terminu złożenia ankiety decyduje data jej wpływu do Urzędu albo przesłania przez formularz elektroniczny.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strike w:val="false"/>
          <w:dstrike w:val="false"/>
          <w:color w:val="auto"/>
        </w:rPr>
        <w:t>W przypadku złożenia przez tę samą osobę więcej niż jednej ankiety uwzględnia się ankietę złożoną jako pierwszą. Nie uwzględnia się ankiet złożonych po terminie, o którym mowa w § 3 ust. 3, niewypełnionych w zakresie danych obowiązkowych albo złożonych przez osoby niebędące mieszkańcami Miasta Szczytno.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709" w:leader="none"/>
        </w:tabs>
        <w:suppressAutoHyphens w:val="true"/>
        <w:bidi w:val="0"/>
        <w:ind w:hanging="0" w:left="426"/>
        <w:jc w:val="both"/>
        <w:rPr>
          <w:strike/>
          <w:color w:val="auto"/>
        </w:rPr>
      </w:pPr>
      <w:r>
        <w:rPr>
          <w:strike/>
          <w:color w:val="auto"/>
        </w:rPr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strike w:val="false"/>
          <w:dstrike w:val="false"/>
          <w:color w:val="auto"/>
        </w:rPr>
        <w:t>§ 5.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Materiały konsultacyjne, ankieta oraz informacja o terminach i sposobach udziału w konsultacjach zostaną udostępnione:</w:t>
      </w:r>
    </w:p>
    <w:p>
      <w:pPr>
        <w:pStyle w:val="BodyText"/>
        <w:numPr>
          <w:ilvl w:val="1"/>
          <w:numId w:val="5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w Biuletynie Informacji Publicznej Urzędu Miejskiego w Szczytnie;</w:t>
      </w:r>
    </w:p>
    <w:p>
      <w:pPr>
        <w:pStyle w:val="BodyText"/>
        <w:numPr>
          <w:ilvl w:val="1"/>
          <w:numId w:val="5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na stronie internetowej Miasta Szczytno;</w:t>
      </w:r>
    </w:p>
    <w:p>
      <w:pPr>
        <w:pStyle w:val="BodyText"/>
        <w:numPr>
          <w:ilvl w:val="1"/>
          <w:numId w:val="5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na stronie obywatel.miastoszczytno.pl;</w:t>
      </w:r>
    </w:p>
    <w:p>
      <w:pPr>
        <w:pStyle w:val="BodyText"/>
        <w:numPr>
          <w:ilvl w:val="1"/>
          <w:numId w:val="5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w Biurze Obsługi Urzędu Miejskiego w Szczytnie.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Ogłoszenie o konsultacjach, stanowiące załącznik nr 2 do niniejszego zarządzenia, zamieszcza się również na tablicy ogłoszeń Urzędu.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709" w:leader="none"/>
        </w:tabs>
        <w:suppressAutoHyphens w:val="true"/>
        <w:bidi w:val="0"/>
        <w:ind w:hanging="0" w:left="709"/>
        <w:jc w:val="both"/>
        <w:rPr>
          <w:strike/>
          <w:color w:val="auto"/>
        </w:rPr>
      </w:pPr>
      <w:r>
        <w:rPr>
          <w:strike/>
          <w:color w:val="auto"/>
        </w:rPr>
      </w:r>
    </w:p>
    <w:p>
      <w:pPr>
        <w:pStyle w:val="BodyText"/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>
          <w:strike w:val="false"/>
          <w:dstrike w:val="false"/>
          <w:color w:val="auto"/>
        </w:rPr>
      </w:pPr>
      <w:r>
        <w:rPr>
          <w:strike w:val="false"/>
          <w:dstrike w:val="false"/>
          <w:color w:val="auto"/>
        </w:rPr>
      </w:r>
    </w:p>
    <w:p>
      <w:pPr>
        <w:pStyle w:val="BodyText"/>
        <w:suppressAutoHyphens w:val="true"/>
        <w:bidi w:val="0"/>
        <w:jc w:val="center"/>
        <w:rPr>
          <w:rStyle w:val="Strong"/>
          <w:color w:val="auto"/>
        </w:rPr>
      </w:pPr>
      <w:r>
        <w:rPr/>
      </w:r>
    </w:p>
    <w:p>
      <w:pPr>
        <w:pStyle w:val="BodyText"/>
        <w:suppressAutoHyphens w:val="true"/>
        <w:bidi w:val="0"/>
        <w:jc w:val="center"/>
        <w:rPr>
          <w:rStyle w:val="Strong"/>
          <w:color w:val="auto"/>
        </w:rPr>
      </w:pPr>
      <w:r>
        <w:rPr/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6.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Powołuje się Zespół do przeprowadzenia i podsumowania konsultacji społecznych w składzie: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 xml:space="preserve">Michał Trusewicz – Sekretarz </w:t>
      </w:r>
      <w:r>
        <w:rPr>
          <w:strike w:val="false"/>
          <w:dstrike w:val="false"/>
          <w:color w:val="auto"/>
        </w:rPr>
        <w:t>Miasta Szczytno – Przewodniczący Zespołu</w:t>
      </w:r>
      <w:r>
        <w:rPr>
          <w:color w:val="auto"/>
        </w:rPr>
        <w:t>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 xml:space="preserve">Michał Trzciński – Naczelnik </w:t>
      </w:r>
      <w:r>
        <w:rPr>
          <w:strike w:val="false"/>
          <w:dstrike w:val="false"/>
          <w:color w:val="auto"/>
        </w:rPr>
        <w:t xml:space="preserve">Wydziału Administracyjno-Technicznego </w:t>
      </w:r>
      <w:r>
        <w:rPr>
          <w:color w:val="auto"/>
        </w:rPr>
        <w:t>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 xml:space="preserve">Piotr Paszkiewicz – Naczelnik </w:t>
      </w:r>
      <w:r>
        <w:rPr>
          <w:strike w:val="false"/>
          <w:dstrike w:val="false"/>
          <w:color w:val="auto"/>
        </w:rPr>
        <w:t>Wydziału Funduszy Zewnętrznych i Inwestycji</w:t>
      </w:r>
      <w:r>
        <w:rPr>
          <w:color w:val="auto"/>
        </w:rPr>
        <w:t>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Katarzyna Radziewińska – Naczelnik W</w:t>
      </w:r>
      <w:r>
        <w:rPr>
          <w:strike w:val="false"/>
          <w:dstrike w:val="false"/>
          <w:color w:val="auto"/>
        </w:rPr>
        <w:t>ydziału Promocji i Rozwoju Gospodarczego</w:t>
      </w:r>
      <w:r>
        <w:rPr>
          <w:color w:val="auto"/>
        </w:rPr>
        <w:t>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 xml:space="preserve">Krzysztof Bromberek – </w:t>
      </w:r>
      <w:r>
        <w:rPr>
          <w:strike w:val="false"/>
          <w:dstrike w:val="false"/>
          <w:color w:val="auto"/>
        </w:rPr>
        <w:t>Zastępca Naczelnika Wydziału Gospodarki Przestrzennej i Ochrony Środowiska.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Do zadań Zespołu należy: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organizacja konsultacji i zapewnienie dostępu do materiałów;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udokumentowanie przebiegu spotkania informacyjno-konsultacyjnego;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zebranie i zestawienie odpowiedzi ankietowych oraz zgłoszonych uwag;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sporządzenie raportu z konsultacji</w:t>
      </w:r>
      <w:r>
        <w:rPr>
          <w:strike w:val="false"/>
          <w:dstrike w:val="false"/>
          <w:color w:val="auto"/>
        </w:rPr>
        <w:t xml:space="preserve"> (informacji o wyniku i przebiegu konsultacji)</w:t>
      </w:r>
      <w:r>
        <w:rPr>
          <w:color w:val="auto"/>
        </w:rPr>
        <w:t>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przedstawienie raportu Burmistrzowi Miasta Szczytno.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Raport powinien zawierać w szczególności: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opis przebiegu konsultacji;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liczbę otrzymanych ankiet, z podziałem na formę elektroniczną i papierową;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zestawienie/zliczenie odpowiedzi na poszczególne pytania;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podsumowanie zgłoszonych uwag i propozycji;</w:t>
      </w:r>
    </w:p>
    <w:p>
      <w:pPr>
        <w:pStyle w:val="BodyText"/>
        <w:numPr>
          <w:ilvl w:val="1"/>
          <w:numId w:val="6"/>
        </w:numPr>
        <w:tabs>
          <w:tab w:val="clear" w:pos="720"/>
          <w:tab w:val="left" w:pos="1418" w:leader="none"/>
        </w:tabs>
        <w:suppressAutoHyphens w:val="true"/>
        <w:bidi w:val="0"/>
        <w:ind w:hanging="283" w:left="1418"/>
        <w:jc w:val="left"/>
        <w:rPr/>
      </w:pPr>
      <w:r>
        <w:rPr>
          <w:color w:val="auto"/>
        </w:rPr>
        <w:t>propozycje sposobu uwzględnienia uwag wraz z uzasadnieniem.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>Brak odpowiedzi na pytanie albo zaznaczenie większej liczby odpowiedzi niż dopuszczona w danym pytaniu nie wyłącza uwzględnienia prawidłowych odpowiedzi na pozostałe pytania oraz zgłoszonych uwag.</w:t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7.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color w:val="auto"/>
        </w:rPr>
        <w:t xml:space="preserve">Raport z konsultacji </w:t>
      </w:r>
      <w:r>
        <w:rPr>
          <w:strike w:val="false"/>
          <w:dstrike w:val="false"/>
          <w:color w:val="auto"/>
        </w:rPr>
        <w:t>sporządza się</w:t>
      </w:r>
      <w:r>
        <w:rPr>
          <w:color w:val="auto"/>
        </w:rPr>
        <w:t xml:space="preserve"> w terminie 14 dni od </w:t>
      </w:r>
      <w:r>
        <w:rPr>
          <w:strike w:val="false"/>
          <w:dstrike w:val="false"/>
          <w:color w:val="auto"/>
        </w:rPr>
        <w:t xml:space="preserve">dnia </w:t>
      </w:r>
      <w:r>
        <w:rPr>
          <w:color w:val="auto"/>
        </w:rPr>
        <w:t>zakończenia konsultacji</w:t>
      </w:r>
      <w:r>
        <w:rPr>
          <w:strike w:val="false"/>
          <w:dstrike w:val="false"/>
          <w:color w:val="auto"/>
        </w:rPr>
        <w:t>, tj. do dnia 20 listopada 2026 r., i publikuje się</w:t>
      </w:r>
      <w:r>
        <w:rPr>
          <w:color w:val="auto"/>
        </w:rPr>
        <w:t xml:space="preserve"> w Biuletynie Informacji Publicznej</w:t>
      </w:r>
      <w:r>
        <w:rPr>
          <w:strike w:val="false"/>
          <w:dstrike w:val="false"/>
          <w:color w:val="auto"/>
        </w:rPr>
        <w:t xml:space="preserve"> Urzędu Miejskiego w Szczytnie, na stronie konsultacje.miastoszczytno.pl, na tablicy ogłoszeń</w:t>
      </w:r>
      <w:r>
        <w:rPr>
          <w:color w:val="auto"/>
        </w:rPr>
        <w:t xml:space="preserve"> Urzędu Miejskiego w Szczytnie oraz na stronie obywatel.miastoszczytno.pl.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Raport publikuje się w sposób zapewniający ochronę danych osobowych uczestników.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left"/>
        <w:rPr/>
      </w:pPr>
      <w:r>
        <w:rPr>
          <w:color w:val="auto"/>
        </w:rPr>
        <w:t>Wyniki konsultacji zostaną wykorzystane przy podejmowaniu dalszych decyzji dotyczących przygotowania inwestycji.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strike w:val="false"/>
          <w:dstrike w:val="false"/>
          <w:color w:val="auto"/>
        </w:rPr>
        <w:t>Konsultacje mają charakter opiniodawczy, a ich wyniki nie wiążą organów Gminy Miejskiej Szczytno. Konsultacje uznaje się za ważne bez względu na liczbę mieszkańców, którzy wezmą w nich udział.</w:t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8.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strike w:val="false"/>
          <w:dstrike w:val="false"/>
          <w:color w:val="auto"/>
        </w:rPr>
        <w:t>Niniejsze zarządzenie podaje się do publicznej wiadomości poprzez publikację w Biuletynie Informacji Publicznej Urzędu Miejskiego w Szczytnie oraz na tablicy ogłoszeń Urzędu Miejskiego w Szczytnie, w terminie nie krótszym niż 7 dni przed datą rozpoczęcia konsultacji.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709" w:leader="none"/>
        </w:tabs>
        <w:suppressAutoHyphens w:val="true"/>
        <w:bidi w:val="0"/>
        <w:ind w:hanging="283" w:left="709"/>
        <w:jc w:val="both"/>
        <w:rPr/>
      </w:pPr>
      <w:r>
        <w:rPr>
          <w:strike w:val="false"/>
          <w:dstrike w:val="false"/>
          <w:color w:val="auto"/>
        </w:rPr>
        <w:t xml:space="preserve"> </w:t>
      </w:r>
      <w:r>
        <w:rPr>
          <w:color w:val="auto"/>
        </w:rPr>
        <w:t>Wykonanie zarządzenia powierza się Sekretarzowi Miasta</w:t>
      </w:r>
      <w:r>
        <w:rPr>
          <w:strike w:val="false"/>
          <w:dstrike w:val="false"/>
          <w:color w:val="auto"/>
        </w:rPr>
        <w:t xml:space="preserve"> Szczytno</w:t>
      </w:r>
      <w:r>
        <w:rPr>
          <w:color w:val="auto"/>
        </w:rPr>
        <w:t>.</w:t>
      </w:r>
    </w:p>
    <w:p>
      <w:pPr>
        <w:pStyle w:val="BodyText"/>
        <w:suppressAutoHyphens w:val="true"/>
        <w:bidi w:val="0"/>
        <w:jc w:val="center"/>
        <w:rPr/>
      </w:pPr>
      <w:r>
        <w:rPr>
          <w:rStyle w:val="Strong"/>
          <w:color w:val="auto"/>
        </w:rPr>
        <w:t>§ 9.</w:t>
      </w:r>
    </w:p>
    <w:p>
      <w:pPr>
        <w:pStyle w:val="BodyText"/>
        <w:suppressAutoHyphens w:val="true"/>
        <w:bidi w:val="0"/>
        <w:jc w:val="left"/>
        <w:rPr/>
      </w:pPr>
      <w:r>
        <w:rPr>
          <w:color w:val="auto"/>
        </w:rPr>
        <w:t>Zarządzenie wchodzi w życie z dniem podpisania.</w:t>
      </w:r>
    </w:p>
    <w:p>
      <w:pPr>
        <w:pStyle w:val="BodyText"/>
        <w:suppressAutoHyphens w:val="true"/>
        <w:bidi w:val="0"/>
        <w:spacing w:before="0" w:after="140"/>
        <w:jc w:val="left"/>
        <w:rPr>
          <w:color w:val="auto"/>
        </w:rPr>
      </w:pPr>
      <w:r>
        <w:rPr>
          <w:color w:val="auto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isLgl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isLgl/>
      <w:numFmt w:val="decimal"/>
      <w:lvlText w:val="%2)"/>
      <w:lvlJc w:val="left"/>
      <w:pPr>
        <w:tabs>
          <w:tab w:val="num" w:pos="1418"/>
        </w:tabs>
        <w:ind w:left="1418" w:hanging="283"/>
      </w:pPr>
      <w:rPr/>
    </w:lvl>
    <w:lvl w:ilvl="2">
      <w:start w:val="1"/>
      <w:isLgl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isLgl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isLgl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isLgl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isLgl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isLgl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isLgl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NSimSun" w:cs="Arial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Znakiprzypiswdolnych">
    <w:name w:val="Znaki przypisów dolnych"/>
    <w:uiPriority w:val="99"/>
    <w:semiHidden/>
    <w:unhideWhenUsed/>
    <w:qFormat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Strong">
    <w:name w:val="Strong"/>
    <w:qFormat/>
    <w:rPr>
      <w:b/>
      <w:bCs/>
    </w:rPr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Calibri" w:hAnsi="Calibri"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Calibri" w:hAnsi="Calibri" w:cs="Ari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Arial"/>
      <w:color w:val="auto"/>
      <w:kern w:val="0"/>
      <w:sz w:val="24"/>
      <w:szCs w:val="24"/>
      <w:lang w:val="pl-PL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1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"/>
    <w:basedOn w:val="1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Table Grid Light"/>
    <w:basedOn w:val="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1"/>
    <w:basedOn w:val="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2"/>
    <w:basedOn w:val="1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3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4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Plain Table 5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1 Light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C3FEBA" w:themeFill="accent1" w:themeFillTint="34"/>
      </w:tcPr>
    </w:tblStylePr>
    <w:tblStylePr w:type="band1Vert">
      <w:rPr>
        <w:sz w:val="22"/>
      </w:rPr>
      <w:tblPr/>
      <w:tcPr>
        <w:shd w:val="clear" w:color="FFFFFF" w:fill="C3FEBA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BDE6FE" w:themeFill="accent2" w:themeFillTint="32"/>
      </w:tcPr>
    </w:tblStylePr>
    <w:tblStylePr w:type="band1Vert">
      <w:rPr>
        <w:sz w:val="22"/>
      </w:rPr>
      <w:tblPr/>
      <w:tcPr>
        <w:shd w:val="clear" w:color="FFFFFF" w:fill="BDE6FE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FED3BA" w:themeFill="accent3" w:themeFillTint="34"/>
      </w:tcPr>
    </w:tblStylePr>
    <w:tblStylePr w:type="band1Vert">
      <w:rPr>
        <w:sz w:val="22"/>
      </w:rPr>
      <w:tblPr/>
      <w:tcPr>
        <w:shd w:val="clear" w:color="FFFFFF" w:fill="FED3BA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5BAFE" w:themeFill="accent4" w:themeFillTint="34"/>
      </w:tcPr>
    </w:tblStylePr>
    <w:tblStylePr w:type="band1Vert">
      <w:rPr>
        <w:sz w:val="22"/>
      </w:rPr>
      <w:tblPr/>
      <w:tcPr>
        <w:shd w:val="clear" w:color="FFFFFF" w:fill="F5BAFE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FFF1C0" w:themeFill="accent5" w:themeFillTint="34"/>
      </w:tcPr>
    </w:tblStylePr>
    <w:tblStylePr w:type="band1Vert">
      <w:rPr>
        <w:sz w:val="22"/>
      </w:rPr>
      <w:tblPr/>
      <w:tcPr>
        <w:shd w:val="clear" w:color="FFFFFF" w:fill="FFF1C0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2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8CECD" w:themeFill="accent6" w:themeFillTint="34"/>
      </w:tcPr>
    </w:tblStylePr>
    <w:tblStylePr w:type="band1Vert">
      <w:rPr>
        <w:sz w:val="22"/>
      </w:rPr>
      <w:tblPr/>
      <w:tcPr>
        <w:shd w:val="clear" w:color="FFFFFF" w:fill="F8CECD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C3FEBA" w:themeFill="accent1" w:themeFillTint="34"/>
      </w:tcPr>
    </w:tblStylePr>
    <w:tblStylePr w:type="band1Vert">
      <w:rPr>
        <w:sz w:val="22"/>
      </w:rPr>
      <w:tblPr/>
      <w:tcPr>
        <w:shd w:val="clear" w:color="FFFFFF" w:fill="C3FEBA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BDE6FE" w:themeFill="accent2" w:themeFillTint="32"/>
      </w:tcPr>
    </w:tblStylePr>
    <w:tblStylePr w:type="band1Vert">
      <w:rPr>
        <w:sz w:val="22"/>
      </w:rPr>
      <w:tblPr/>
      <w:tcPr>
        <w:shd w:val="clear" w:color="FFFFFF" w:fill="BDE6FE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FED3BA" w:themeFill="accent3" w:themeFillTint="34"/>
      </w:tcPr>
    </w:tblStylePr>
    <w:tblStylePr w:type="band1Vert">
      <w:rPr>
        <w:sz w:val="22"/>
      </w:rPr>
      <w:tblPr/>
      <w:tcPr>
        <w:shd w:val="clear" w:color="FFFFFF" w:fill="FED3BA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5BAFE" w:themeFill="accent4" w:themeFillTint="34"/>
      </w:tcPr>
    </w:tblStylePr>
    <w:tblStylePr w:type="band1Vert">
      <w:rPr>
        <w:sz w:val="22"/>
      </w:rPr>
      <w:tblPr/>
      <w:tcPr>
        <w:shd w:val="clear" w:color="FFFFFF" w:fill="F5BAFE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FFF1C0" w:themeFill="accent5" w:themeFillTint="34"/>
      </w:tcPr>
    </w:tblStylePr>
    <w:tblStylePr w:type="band1Vert">
      <w:rPr>
        <w:sz w:val="22"/>
      </w:rPr>
      <w:tblPr/>
      <w:tcPr>
        <w:shd w:val="clear" w:color="FFFFFF" w:fill="FFF1C0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3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8CECD" w:themeFill="accent6" w:themeFillTint="34"/>
      </w:tcPr>
    </w:tblStylePr>
    <w:tblStylePr w:type="band1Vert">
      <w:rPr>
        <w:sz w:val="22"/>
      </w:rPr>
      <w:tblPr/>
      <w:tcPr>
        <w:shd w:val="clear" w:color="FFFFFF" w:fill="F8CECD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1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C5FEBD" w:themeFill="accent1" w:themeFillTint="32"/>
      </w:tcPr>
    </w:tblStylePr>
    <w:tblStylePr w:type="band1Vert">
      <w:rPr>
        <w:sz w:val="22"/>
      </w:rPr>
      <w:tblPr/>
      <w:tcPr>
        <w:shd w:val="clear" w:color="FFFFFF" w:fill="C5FEBD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1CBF04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2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BDE6FE" w:themeFill="accent2" w:themeFillTint="32"/>
      </w:tcPr>
    </w:tblStylePr>
    <w:tblStylePr w:type="band1Vert">
      <w:rPr>
        <w:sz w:val="22"/>
      </w:rPr>
      <w:tblPr/>
      <w:tcPr>
        <w:shd w:val="clear" w:color="FFFFFF" w:fill="BDE6FE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37B4FB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3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FED3BA" w:themeFill="accent3" w:themeFillTint="34"/>
      </w:tcPr>
    </w:tblStylePr>
    <w:tblStylePr w:type="band1Vert">
      <w:rPr>
        <w:sz w:val="22"/>
      </w:rPr>
      <w:tblPr/>
      <w:tcPr>
        <w:shd w:val="clear" w:color="FFFFFF" w:fill="FED3BA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43F03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4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5BAFE" w:themeFill="accent4" w:themeFillTint="34"/>
      </w:tcPr>
    </w:tblStylePr>
    <w:tblStylePr w:type="band1Vert">
      <w:rPr>
        <w:sz w:val="22"/>
      </w:rPr>
      <w:tblPr/>
      <w:tcPr>
        <w:shd w:val="clear" w:color="FFFFFF" w:fill="F5BAFE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E133FB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5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FFF1C0" w:themeFill="accent5" w:themeFillTint="34"/>
      </w:tcPr>
    </w:tblStylePr>
    <w:tblStylePr w:type="band1Vert">
      <w:rPr>
        <w:sz w:val="22"/>
      </w:rPr>
      <w:tblPr/>
      <w:tcPr>
        <w:shd w:val="clear" w:color="FFFFFF" w:fill="FFF1C0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C99C00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4 - Accent 6"/>
    <w:basedOn w:val="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8CECD" w:themeFill="accent6" w:themeFillTint="34"/>
      </w:tcPr>
    </w:tblStylePr>
    <w:tblStylePr w:type="band1Vert">
      <w:rPr>
        <w:sz w:val="22"/>
      </w:rPr>
      <w:tblPr/>
      <w:tcPr>
        <w:shd w:val="clear" w:color="FFFFFF" w:fill="F8CECD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C9211E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78FC64" w:themeFill="accent1" w:themeFillTint="75"/>
      </w:tcPr>
    </w:tblStylePr>
    <w:tblStylePr w:type="band1Vert">
      <w:tblPr/>
      <w:tcPr>
        <w:shd w:val="clear" w:color="FFFFFF" w:fill="78FC64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18A303" w:themeFill="accent1"/>
      </w:tcPr>
    </w:tblStylePr>
    <w:tblStylePr w:type="firstRow">
      <w:rPr>
        <w:b/>
        <w:sz w:val="22"/>
      </w:rPr>
      <w:tblPr/>
      <w:tcPr>
        <w:shd w:val="clear" w:color="FFFFFF" w:fill="18A303" w:themeFill="accent1"/>
      </w:tcPr>
    </w:tblStylePr>
    <w:tblStylePr w:type="lastCol">
      <w:rPr>
        <w:b/>
        <w:sz w:val="22"/>
      </w:rPr>
      <w:tblPr/>
      <w:tcPr>
        <w:shd w:val="clear" w:color="FFFFFF" w:fill="18A303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18A303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64C5FC" w:themeFill="accent2" w:themeFillTint="75"/>
      </w:tcPr>
    </w:tblStylePr>
    <w:tblStylePr w:type="band1Vert">
      <w:tblPr/>
      <w:tcPr>
        <w:shd w:val="clear" w:color="FFFFFF" w:fill="64C5FC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369A3" w:themeFill="accent2"/>
      </w:tcPr>
    </w:tblStylePr>
    <w:tblStylePr w:type="firstRow">
      <w:rPr>
        <w:b/>
        <w:sz w:val="22"/>
      </w:rPr>
      <w:tblPr/>
      <w:tcPr>
        <w:shd w:val="clear" w:color="FFFFFF" w:fill="0369A3" w:themeFill="accent2"/>
      </w:tcPr>
    </w:tblStylePr>
    <w:tblStylePr w:type="lastCol">
      <w:rPr>
        <w:b/>
        <w:sz w:val="22"/>
      </w:rPr>
      <w:tblPr/>
      <w:tcPr>
        <w:shd w:val="clear" w:color="FFFFFF" w:fill="0369A3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369A3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C9C64" w:themeFill="accent3" w:themeFillTint="75"/>
      </w:tcPr>
    </w:tblStylePr>
    <w:tblStylePr w:type="band1Vert">
      <w:tblPr/>
      <w:tcPr>
        <w:shd w:val="clear" w:color="FFFFFF" w:fill="FC9C64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A33E03" w:themeFill="accent3"/>
      </w:tcPr>
    </w:tblStylePr>
    <w:tblStylePr w:type="firstRow">
      <w:rPr>
        <w:b/>
        <w:sz w:val="22"/>
      </w:rPr>
      <w:tblPr/>
      <w:tcPr>
        <w:shd w:val="clear" w:color="FFFFFF" w:fill="A33E03" w:themeFill="accent3"/>
      </w:tcPr>
    </w:tblStylePr>
    <w:tblStylePr w:type="lastCol">
      <w:rPr>
        <w:b/>
        <w:sz w:val="22"/>
      </w:rPr>
      <w:tblPr/>
      <w:tcPr>
        <w:shd w:val="clear" w:color="FFFFFF" w:fill="A33E03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33E03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864FC" w:themeFill="accent4" w:themeFillTint="75"/>
      </w:tcPr>
    </w:tblStylePr>
    <w:tblStylePr w:type="band1Vert">
      <w:tblPr/>
      <w:tcPr>
        <w:shd w:val="clear" w:color="FFFFFF" w:fill="E864FC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E03A3" w:themeFill="accent4"/>
      </w:tcPr>
    </w:tblStylePr>
    <w:tblStylePr w:type="firstRow">
      <w:rPr>
        <w:b/>
        <w:sz w:val="22"/>
      </w:rPr>
      <w:tblPr/>
      <w:tcPr>
        <w:shd w:val="clear" w:color="FFFFFF" w:fill="8E03A3" w:themeFill="accent4"/>
      </w:tcPr>
    </w:tblStylePr>
    <w:tblStylePr w:type="lastCol">
      <w:rPr>
        <w:b/>
        <w:sz w:val="22"/>
      </w:rPr>
      <w:tblPr/>
      <w:tcPr>
        <w:shd w:val="clear" w:color="FFFFFF" w:fill="8E03A3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E03A3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FDF71" w:themeFill="accent5" w:themeFillTint="75"/>
      </w:tcPr>
    </w:tblStylePr>
    <w:tblStylePr w:type="band1Vert">
      <w:tblPr/>
      <w:tcPr>
        <w:shd w:val="clear" w:color="FFFFFF" w:fill="FFDF71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99C00" w:themeFill="accent5"/>
      </w:tcPr>
    </w:tblStylePr>
    <w:tblStylePr w:type="firstRow">
      <w:rPr>
        <w:b/>
        <w:sz w:val="22"/>
      </w:rPr>
      <w:tblPr/>
      <w:tcPr>
        <w:shd w:val="clear" w:color="FFFFFF" w:fill="C99C00" w:themeFill="accent5"/>
      </w:tcPr>
    </w:tblStylePr>
    <w:tblStylePr w:type="lastCol">
      <w:rPr>
        <w:b/>
        <w:sz w:val="22"/>
      </w:rPr>
      <w:tblPr/>
      <w:tcPr>
        <w:shd w:val="clear" w:color="FFFFFF" w:fill="C99C00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99C00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5 Dark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E9190" w:themeFill="accent6" w:themeFillTint="75"/>
      </w:tcPr>
    </w:tblStylePr>
    <w:tblStylePr w:type="band1Vert">
      <w:tblPr/>
      <w:tcPr>
        <w:shd w:val="clear" w:color="FFFFFF" w:fill="EE9190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9211E" w:themeFill="accent6"/>
      </w:tcPr>
    </w:tblStylePr>
    <w:tblStylePr w:type="firstRow">
      <w:rPr>
        <w:b/>
        <w:sz w:val="22"/>
      </w:rPr>
      <w:tblPr/>
      <w:tcPr>
        <w:shd w:val="clear" w:color="FFFFFF" w:fill="C9211E" w:themeFill="accent6"/>
      </w:tcPr>
    </w:tblStylePr>
    <w:tblStylePr w:type="lastCol">
      <w:rPr>
        <w:b/>
        <w:sz w:val="22"/>
      </w:rPr>
      <w:tblPr/>
      <w:tcPr>
        <w:shd w:val="clear" w:color="FFFFFF" w:fill="C9211E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9211E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4">
    <w:name w:val="Grid Table 6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5">
    <w:name w:val="Grid Table 6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C3FEBA" w:themeFill="accent1" w:themeFillTint="34"/>
      </w:tcPr>
    </w:tblStylePr>
    <w:tblStylePr w:type="band1Vert">
      <w:tblPr/>
      <w:tcPr>
        <w:shd w:val="clear" w:color="FFFFFF" w:fill="C3FEBA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6">
    <w:name w:val="Grid Table 6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BDE6FE" w:themeFill="accent2" w:themeFillTint="32"/>
      </w:tcPr>
    </w:tblStylePr>
    <w:tblStylePr w:type="band1Vert">
      <w:tblPr/>
      <w:tcPr>
        <w:shd w:val="clear" w:color="FFFFFF" w:fill="BDE6FE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7">
    <w:name w:val="Grid Table 6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FED3BA" w:themeFill="accent3" w:themeFillTint="34"/>
      </w:tcPr>
    </w:tblStylePr>
    <w:tblStylePr w:type="band1Vert">
      <w:tblPr/>
      <w:tcPr>
        <w:shd w:val="clear" w:color="FFFFFF" w:fill="FED3BA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8">
    <w:name w:val="Grid Table 6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5BAFE" w:themeFill="accent4" w:themeFillTint="34"/>
      </w:tcPr>
    </w:tblStylePr>
    <w:tblStylePr w:type="band1Vert">
      <w:tblPr/>
      <w:tcPr>
        <w:shd w:val="clear" w:color="FFFFFF" w:fill="F5BAFE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9">
    <w:name w:val="Grid Table 6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FF1C0" w:themeFill="accent5" w:themeFillTint="34"/>
      </w:tcPr>
    </w:tblStylePr>
    <w:tblStylePr w:type="band1Vert">
      <w:tblPr/>
      <w:tcPr>
        <w:shd w:val="clear" w:color="FFFFFF" w:fill="FFF1C0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6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8CECD" w:themeFill="accent6" w:themeFillTint="34"/>
      </w:tcPr>
    </w:tblStylePr>
    <w:tblStylePr w:type="band1Vert">
      <w:tblPr/>
      <w:tcPr>
        <w:shd w:val="clear" w:color="FFFFFF" w:fill="F8CECD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1">
    <w:name w:val="Grid Table 7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C3FEBA" w:themeFill="accent1" w:themeFillTint="34"/>
      </w:tcPr>
    </w:tblStylePr>
    <w:tblStylePr w:type="band1Vert">
      <w:tblPr/>
      <w:tcPr>
        <w:shd w:val="clear" w:color="FFFFFF" w:fill="C3FEBA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BDE6FE" w:themeFill="accent2" w:themeFillTint="32"/>
      </w:tcPr>
    </w:tblStylePr>
    <w:tblStylePr w:type="band1Vert">
      <w:tblPr/>
      <w:tcPr>
        <w:shd w:val="clear" w:color="FFFFFF" w:fill="BDE6FE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FED3BA" w:themeFill="accent3" w:themeFillTint="34"/>
      </w:tcPr>
    </w:tblStylePr>
    <w:tblStylePr w:type="band1Vert">
      <w:tblPr/>
      <w:tcPr>
        <w:shd w:val="clear" w:color="FFFFFF" w:fill="FED3BA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5BAFE" w:themeFill="accent4" w:themeFillTint="34"/>
      </w:tcPr>
    </w:tblStylePr>
    <w:tblStylePr w:type="band1Vert">
      <w:tblPr/>
      <w:tcPr>
        <w:shd w:val="clear" w:color="FFFFFF" w:fill="F5BAFE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FF1C0" w:themeFill="accent5" w:themeFillTint="34"/>
      </w:tcPr>
    </w:tblStylePr>
    <w:tblStylePr w:type="band1Vert">
      <w:tblPr/>
      <w:tcPr>
        <w:shd w:val="clear" w:color="FFFFFF" w:fill="FFF1C0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Grid Table 7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8CECD" w:themeFill="accent6" w:themeFillTint="34"/>
      </w:tcPr>
    </w:tblStylePr>
    <w:tblStylePr w:type="band1Vert">
      <w:tblPr/>
      <w:tcPr>
        <w:shd w:val="clear" w:color="FFFFFF" w:fill="F8CECD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1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5FDAA" w:themeFill="accent1" w:themeFillTint="40"/>
      </w:tcPr>
    </w:tblStylePr>
    <w:tblStylePr w:type="band1Vert">
      <w:tblPr/>
      <w:tcPr>
        <w:shd w:val="clear" w:color="FFFFFF" w:fill="B5FDAA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2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AADFFD" w:themeFill="accent2" w:themeFillTint="40"/>
      </w:tcPr>
    </w:tblStylePr>
    <w:tblStylePr w:type="band1Vert">
      <w:tblPr/>
      <w:tcPr>
        <w:shd w:val="clear" w:color="FFFFFF" w:fill="AADFFD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3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C9AA" w:themeFill="accent3" w:themeFillTint="40"/>
      </w:tcPr>
    </w:tblStylePr>
    <w:tblStylePr w:type="band1Vert">
      <w:tblPr/>
      <w:tcPr>
        <w:shd w:val="clear" w:color="FFFFFF" w:fill="FDC9AA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4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3AAFD" w:themeFill="accent4" w:themeFillTint="40"/>
      </w:tcPr>
    </w:tblStylePr>
    <w:tblStylePr w:type="band1Vert">
      <w:tblPr/>
      <w:tcPr>
        <w:shd w:val="clear" w:color="FFFFFF" w:fill="F3AAFD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5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EB1" w:themeFill="accent5" w:themeFillTint="40"/>
      </w:tcPr>
    </w:tblStylePr>
    <w:tblStylePr w:type="band1Vert">
      <w:tblPr/>
      <w:tcPr>
        <w:shd w:val="clear" w:color="FFFFFF" w:fill="FFEEB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1 Light - Accent 6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6C3C2" w:themeFill="accent6" w:themeFillTint="40"/>
      </w:tcPr>
    </w:tblStylePr>
    <w:tblStylePr w:type="band1Vert">
      <w:tblPr/>
      <w:tcPr>
        <w:shd w:val="clear" w:color="FFFFFF" w:fill="F6C3C2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B5FDAA" w:themeFill="accent1" w:themeFillTint="40"/>
      </w:tcPr>
    </w:tblStylePr>
    <w:tblStylePr w:type="band1Vert">
      <w:rPr>
        <w:sz w:val="22"/>
      </w:rPr>
      <w:tblPr/>
      <w:tcPr>
        <w:shd w:val="clear" w:color="FFFFFF" w:fill="B5FDAA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AADFFD" w:themeFill="accent2" w:themeFillTint="40"/>
      </w:tcPr>
    </w:tblStylePr>
    <w:tblStylePr w:type="band1Vert">
      <w:rPr>
        <w:sz w:val="22"/>
      </w:rPr>
      <w:tblPr/>
      <w:tcPr>
        <w:shd w:val="clear" w:color="FFFFFF" w:fill="AADFFD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FDC9AA" w:themeFill="accent3" w:themeFillTint="40"/>
      </w:tcPr>
    </w:tblStylePr>
    <w:tblStylePr w:type="band1Vert">
      <w:rPr>
        <w:sz w:val="22"/>
      </w:rPr>
      <w:tblPr/>
      <w:tcPr>
        <w:shd w:val="clear" w:color="FFFFFF" w:fill="FDC9AA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3AAFD" w:themeFill="accent4" w:themeFillTint="40"/>
      </w:tcPr>
    </w:tblStylePr>
    <w:tblStylePr w:type="band1Vert">
      <w:rPr>
        <w:sz w:val="22"/>
      </w:rPr>
      <w:tblPr/>
      <w:tcPr>
        <w:shd w:val="clear" w:color="FFFFFF" w:fill="F3AAFD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FFEEB1" w:themeFill="accent5" w:themeFillTint="40"/>
      </w:tcPr>
    </w:tblStylePr>
    <w:tblStylePr w:type="band1Vert">
      <w:rPr>
        <w:sz w:val="22"/>
      </w:rPr>
      <w:tblPr/>
      <w:tcPr>
        <w:shd w:val="clear" w:color="FFFFFF" w:fill="FFEEB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2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6C3C2" w:themeFill="accent6" w:themeFillTint="40"/>
      </w:tcPr>
    </w:tblStylePr>
    <w:tblStylePr w:type="band1Vert">
      <w:rPr>
        <w:sz w:val="22"/>
      </w:rPr>
      <w:tblPr/>
      <w:tcPr>
        <w:shd w:val="clear" w:color="FFFFFF" w:fill="F6C3C2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18A303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37B4FB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B7F36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133FB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544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3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9706E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B5FDAA" w:themeFill="accent1" w:themeFillTint="40"/>
      </w:tcPr>
    </w:tblStylePr>
    <w:tblStylePr w:type="band1Vert">
      <w:rPr>
        <w:sz w:val="22"/>
      </w:rPr>
      <w:tblPr/>
      <w:tcPr>
        <w:shd w:val="clear" w:color="FFFFFF" w:fill="B5FDAA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18A303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AADFFD" w:themeFill="accent2" w:themeFillTint="40"/>
      </w:tcPr>
    </w:tblStylePr>
    <w:tblStylePr w:type="band1Vert">
      <w:rPr>
        <w:sz w:val="22"/>
      </w:rPr>
      <w:tblPr/>
      <w:tcPr>
        <w:shd w:val="clear" w:color="FFFFFF" w:fill="AADFFD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369A3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FDC9AA" w:themeFill="accent3" w:themeFillTint="40"/>
      </w:tcPr>
    </w:tblStylePr>
    <w:tblStylePr w:type="band1Vert">
      <w:rPr>
        <w:sz w:val="22"/>
      </w:rPr>
      <w:tblPr/>
      <w:tcPr>
        <w:shd w:val="clear" w:color="FFFFFF" w:fill="FDC9AA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33E03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3AAFD" w:themeFill="accent4" w:themeFillTint="40"/>
      </w:tcPr>
    </w:tblStylePr>
    <w:tblStylePr w:type="band1Vert">
      <w:rPr>
        <w:sz w:val="22"/>
      </w:rPr>
      <w:tblPr/>
      <w:tcPr>
        <w:shd w:val="clear" w:color="FFFFFF" w:fill="F3AAFD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03A3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FFEEB1" w:themeFill="accent5" w:themeFillTint="40"/>
      </w:tcPr>
    </w:tblStylePr>
    <w:tblStylePr w:type="band1Vert">
      <w:rPr>
        <w:sz w:val="22"/>
      </w:rPr>
      <w:tblPr/>
      <w:tcPr>
        <w:shd w:val="clear" w:color="FFFFFF" w:fill="FFEEB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9C00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4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6C3C2" w:themeFill="accent6" w:themeFillTint="40"/>
      </w:tcPr>
    </w:tblStylePr>
    <w:tblStylePr w:type="band1Vert">
      <w:rPr>
        <w:sz w:val="22"/>
      </w:rPr>
      <w:tblPr/>
      <w:tcPr>
        <w:shd w:val="clear" w:color="FFFFFF" w:fill="F6C3C2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211E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6">
    <w:name w:val="List Table 5 Dark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18A303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18A303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18A303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18A303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37B4FB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37B4FB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37B4FB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37B4FB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B7F36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B7F36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B7F36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FB7F36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133FB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E133FB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133FB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E133FB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544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544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544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FFD544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5 Dark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9706E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E9706E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E9706E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E9706E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3">
    <w:name w:val="List Table 6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B5FDAA" w:themeFill="accent1" w:themeFillTint="40"/>
      </w:tcPr>
    </w:tblStylePr>
    <w:tblStylePr w:type="band1Vert">
      <w:tblPr/>
      <w:tcPr>
        <w:shd w:val="clear" w:color="FFFFFF" w:fill="B5FDAA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AADFFD" w:themeFill="accent2" w:themeFillTint="40"/>
      </w:tcPr>
    </w:tblStylePr>
    <w:tblStylePr w:type="band1Vert">
      <w:tblPr/>
      <w:tcPr>
        <w:shd w:val="clear" w:color="FFFFFF" w:fill="AADFFD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FDC9AA" w:themeFill="accent3" w:themeFillTint="40"/>
      </w:tcPr>
    </w:tblStylePr>
    <w:tblStylePr w:type="band1Vert">
      <w:tblPr/>
      <w:tcPr>
        <w:shd w:val="clear" w:color="FFFFFF" w:fill="FDC9AA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3AAFD" w:themeFill="accent4" w:themeFillTint="40"/>
      </w:tcPr>
    </w:tblStylePr>
    <w:tblStylePr w:type="band1Vert">
      <w:tblPr/>
      <w:tcPr>
        <w:shd w:val="clear" w:color="FFFFFF" w:fill="F3AAFD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FFEEB1" w:themeFill="accent5" w:themeFillTint="40"/>
      </w:tcPr>
    </w:tblStylePr>
    <w:tblStylePr w:type="band1Vert">
      <w:tblPr/>
      <w:tcPr>
        <w:shd w:val="clear" w:color="FFFFFF" w:fill="FFEEB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6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6C3C2" w:themeFill="accent6" w:themeFillTint="40"/>
      </w:tcPr>
    </w:tblStylePr>
    <w:tblStylePr w:type="band1Vert">
      <w:tblPr/>
      <w:tcPr>
        <w:shd w:val="clear" w:color="FFFFFF" w:fill="F6C3C2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0">
    <w:name w:val="List Table 7 Colorful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1">
    <w:name w:val="List Table 7 Colorful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B5FDAA" w:themeFill="accent1" w:themeFillTint="40"/>
      </w:tcPr>
    </w:tblStylePr>
    <w:tblStylePr w:type="band1Vert">
      <w:tblPr/>
      <w:tcPr>
        <w:shd w:val="clear" w:color="FFFFFF" w:fill="B5FDAA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2">
    <w:name w:val="List Table 7 Colorful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AADFFD" w:themeFill="accent2" w:themeFillTint="40"/>
      </w:tcPr>
    </w:tblStylePr>
    <w:tblStylePr w:type="band1Vert">
      <w:tblPr/>
      <w:tcPr>
        <w:shd w:val="clear" w:color="FFFFFF" w:fill="AADFFD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3">
    <w:name w:val="List Table 7 Colorful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FDC9AA" w:themeFill="accent3" w:themeFillTint="40"/>
      </w:tcPr>
    </w:tblStylePr>
    <w:tblStylePr w:type="band1Vert">
      <w:tblPr/>
      <w:tcPr>
        <w:shd w:val="clear" w:color="FFFFFF" w:fill="FDC9AA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4">
    <w:name w:val="List Table 7 Colorful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3AAFD" w:themeFill="accent4" w:themeFillTint="40"/>
      </w:tcPr>
    </w:tblStylePr>
    <w:tblStylePr w:type="band1Vert">
      <w:tblPr/>
      <w:tcPr>
        <w:shd w:val="clear" w:color="FFFFFF" w:fill="F3AAFD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5">
    <w:name w:val="List Table 7 Colorful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FFEEB1" w:themeFill="accent5" w:themeFillTint="40"/>
      </w:tcPr>
    </w:tblStylePr>
    <w:tblStylePr w:type="band1Vert">
      <w:tblPr/>
      <w:tcPr>
        <w:shd w:val="clear" w:color="FFFFFF" w:fill="FFEEB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6">
    <w:name w:val="List Table 7 Colorful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6C3C2" w:themeFill="accent6" w:themeFillTint="40"/>
      </w:tcPr>
    </w:tblStylePr>
    <w:tblStylePr w:type="band1Vert">
      <w:tblPr/>
      <w:tcPr>
        <w:shd w:val="clear" w:color="FFFFFF" w:fill="F6C3C2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7">
    <w:name w:val="Lined - Accent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1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A3FD95" w:themeFill="accent1" w:themeFillTint="50"/>
      </w:tcPr>
    </w:tblStylePr>
    <w:tblStylePr w:type="band2Vert">
      <w:rPr>
        <w:sz w:val="22"/>
      </w:rPr>
      <w:tblPr/>
      <w:tcPr>
        <w:shd w:val="clear" w:color="FFFFFF" w:fill="A3FD95" w:themeFill="accent1" w:themeFillTint="50"/>
      </w:tcPr>
    </w:tblStylePr>
    <w:tblStylePr w:type="firstCol">
      <w:rPr>
        <w:sz w:val="22"/>
      </w:rPr>
      <w:tblPr/>
      <w:tcPr>
        <w:shd w:val="clear" w:color="FFFFFF" w:fill="1CBF04" w:themeFill="accent1" w:themeFillTint="ea"/>
      </w:tcPr>
    </w:tblStylePr>
    <w:tblStylePr w:type="firstRow">
      <w:rPr>
        <w:sz w:val="22"/>
      </w:rPr>
      <w:tblPr/>
      <w:tcPr>
        <w:shd w:val="clear" w:color="FFFFFF" w:fill="1CBF04" w:themeFill="accent1" w:themeFillTint="ea"/>
      </w:tcPr>
    </w:tblStylePr>
    <w:tblStylePr w:type="lastCol">
      <w:rPr>
        <w:sz w:val="22"/>
      </w:rPr>
      <w:tblPr/>
      <w:tcPr>
        <w:shd w:val="clear" w:color="FFFFFF" w:fill="1CBF04" w:themeFill="accent1" w:themeFillTint="ea"/>
      </w:tcPr>
    </w:tblStylePr>
    <w:tblStylePr w:type="lastRow">
      <w:rPr>
        <w:sz w:val="22"/>
      </w:rPr>
      <w:tblPr/>
      <w:tcPr>
        <w:shd w:val="clear" w:color="FFFFFF" w:fill="1CBF04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2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BDE6FE" w:themeFill="accent2" w:themeFillTint="32"/>
      </w:tcPr>
    </w:tblStylePr>
    <w:tblStylePr w:type="band2Vert">
      <w:rPr>
        <w:sz w:val="22"/>
      </w:rPr>
      <w:tblPr/>
      <w:tcPr>
        <w:shd w:val="clear" w:color="FFFFFF" w:fill="BDE6FE" w:themeFill="accent2" w:themeFillTint="32"/>
      </w:tcPr>
    </w:tblStylePr>
    <w:tblStylePr w:type="firstCol">
      <w:rPr>
        <w:sz w:val="22"/>
      </w:rPr>
      <w:tblPr/>
      <w:tcPr>
        <w:shd w:val="clear" w:color="FFFFFF" w:fill="37B4FB" w:themeFill="accent2" w:themeFillTint="97"/>
      </w:tcPr>
    </w:tblStylePr>
    <w:tblStylePr w:type="firstRow">
      <w:rPr>
        <w:sz w:val="22"/>
      </w:rPr>
      <w:tblPr/>
      <w:tcPr>
        <w:shd w:val="clear" w:color="FFFFFF" w:fill="37B4FB" w:themeFill="accent2" w:themeFillTint="97"/>
      </w:tcPr>
    </w:tblStylePr>
    <w:tblStylePr w:type="lastCol">
      <w:rPr>
        <w:sz w:val="22"/>
      </w:rPr>
      <w:tblPr/>
      <w:tcPr>
        <w:shd w:val="clear" w:color="FFFFFF" w:fill="37B4FB" w:themeFill="accent2" w:themeFillTint="97"/>
      </w:tcPr>
    </w:tblStylePr>
    <w:tblStylePr w:type="lastRow">
      <w:rPr>
        <w:sz w:val="22"/>
      </w:rPr>
      <w:tblPr/>
      <w:tcPr>
        <w:shd w:val="clear" w:color="FFFFFF" w:fill="37B4FB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3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D3BA" w:themeFill="accent3" w:themeFillTint="34"/>
      </w:tcPr>
    </w:tblStylePr>
    <w:tblStylePr w:type="band2Vert">
      <w:rPr>
        <w:sz w:val="22"/>
      </w:rPr>
      <w:tblPr/>
      <w:tcPr>
        <w:shd w:val="clear" w:color="FFFFFF" w:fill="FED3BA" w:themeFill="accent3" w:themeFillTint="34"/>
      </w:tcPr>
    </w:tblStylePr>
    <w:tblStylePr w:type="firstCol">
      <w:rPr>
        <w:sz w:val="22"/>
      </w:rPr>
      <w:tblPr/>
      <w:tcPr>
        <w:shd w:val="clear" w:color="FFFFFF" w:fill="A43F03" w:themeFill="accent3" w:themeFillTint="fe"/>
      </w:tcPr>
    </w:tblStylePr>
    <w:tblStylePr w:type="firstRow">
      <w:rPr>
        <w:sz w:val="22"/>
      </w:rPr>
      <w:tblPr/>
      <w:tcPr>
        <w:shd w:val="clear" w:color="FFFFFF" w:fill="A43F03" w:themeFill="accent3" w:themeFillTint="fe"/>
      </w:tcPr>
    </w:tblStylePr>
    <w:tblStylePr w:type="lastCol">
      <w:rPr>
        <w:sz w:val="22"/>
      </w:rPr>
      <w:tblPr/>
      <w:tcPr>
        <w:shd w:val="clear" w:color="FFFFFF" w:fill="A43F03" w:themeFill="accent3" w:themeFillTint="fe"/>
      </w:tcPr>
    </w:tblStylePr>
    <w:tblStylePr w:type="lastRow">
      <w:rPr>
        <w:sz w:val="22"/>
      </w:rPr>
      <w:tblPr/>
      <w:tcPr>
        <w:shd w:val="clear" w:color="FFFFFF" w:fill="A43F03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4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5BAFE" w:themeFill="accent4" w:themeFillTint="34"/>
      </w:tcPr>
    </w:tblStylePr>
    <w:tblStylePr w:type="band2Vert">
      <w:rPr>
        <w:sz w:val="22"/>
      </w:rPr>
      <w:tblPr/>
      <w:tcPr>
        <w:shd w:val="clear" w:color="FFFFFF" w:fill="F5BAFE" w:themeFill="accent4" w:themeFillTint="34"/>
      </w:tcPr>
    </w:tblStylePr>
    <w:tblStylePr w:type="firstCol">
      <w:rPr>
        <w:sz w:val="22"/>
      </w:rPr>
      <w:tblPr/>
      <w:tcPr>
        <w:shd w:val="clear" w:color="FFFFFF" w:fill="E133FB" w:themeFill="accent4" w:themeFillTint="9a"/>
      </w:tcPr>
    </w:tblStylePr>
    <w:tblStylePr w:type="firstRow">
      <w:rPr>
        <w:sz w:val="22"/>
      </w:rPr>
      <w:tblPr/>
      <w:tcPr>
        <w:shd w:val="clear" w:color="FFFFFF" w:fill="E133FB" w:themeFill="accent4" w:themeFillTint="9a"/>
      </w:tcPr>
    </w:tblStylePr>
    <w:tblStylePr w:type="lastCol">
      <w:rPr>
        <w:sz w:val="22"/>
      </w:rPr>
      <w:tblPr/>
      <w:tcPr>
        <w:shd w:val="clear" w:color="FFFFFF" w:fill="E133FB" w:themeFill="accent4" w:themeFillTint="9a"/>
      </w:tcPr>
    </w:tblStylePr>
    <w:tblStylePr w:type="lastRow">
      <w:rPr>
        <w:sz w:val="22"/>
      </w:rPr>
      <w:tblPr/>
      <w:tcPr>
        <w:shd w:val="clear" w:color="FFFFFF" w:fill="E133FB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5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1C0" w:themeFill="accent5" w:themeFillTint="34"/>
      </w:tcPr>
    </w:tblStylePr>
    <w:tblStylePr w:type="band2Vert">
      <w:rPr>
        <w:sz w:val="22"/>
      </w:rPr>
      <w:tblPr/>
      <w:tcPr>
        <w:shd w:val="clear" w:color="FFFFFF" w:fill="FFF1C0" w:themeFill="accent5" w:themeFillTint="34"/>
      </w:tcPr>
    </w:tblStylePr>
    <w:tblStylePr w:type="firstCol">
      <w:rPr>
        <w:sz w:val="22"/>
      </w:rPr>
      <w:tblPr/>
      <w:tcPr>
        <w:shd w:val="clear" w:color="FFFFFF" w:fill="C99C00" w:themeFill="accent5"/>
      </w:tcPr>
    </w:tblStylePr>
    <w:tblStylePr w:type="firstRow">
      <w:rPr>
        <w:sz w:val="22"/>
      </w:rPr>
      <w:tblPr/>
      <w:tcPr>
        <w:shd w:val="clear" w:color="FFFFFF" w:fill="C99C00" w:themeFill="accent5"/>
      </w:tcPr>
    </w:tblStylePr>
    <w:tblStylePr w:type="lastCol">
      <w:rPr>
        <w:sz w:val="22"/>
      </w:rPr>
      <w:tblPr/>
      <w:tcPr>
        <w:shd w:val="clear" w:color="FFFFFF" w:fill="C99C00" w:themeFill="accent5"/>
      </w:tcPr>
    </w:tblStylePr>
    <w:tblStylePr w:type="lastRow">
      <w:rPr>
        <w:sz w:val="22"/>
      </w:rPr>
      <w:tblPr/>
      <w:tcPr>
        <w:shd w:val="clear" w:color="FFFFFF" w:fill="C99C00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Lined - Accent 6"/>
    <w:basedOn w:val="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8CECD" w:themeFill="accent6" w:themeFillTint="34"/>
      </w:tcPr>
    </w:tblStylePr>
    <w:tblStylePr w:type="band2Vert">
      <w:rPr>
        <w:sz w:val="22"/>
      </w:rPr>
      <w:tblPr/>
      <w:tcPr>
        <w:shd w:val="clear" w:color="FFFFFF" w:fill="F8CECD" w:themeFill="accent6" w:themeFillTint="34"/>
      </w:tcPr>
    </w:tblStylePr>
    <w:tblStylePr w:type="firstCol">
      <w:rPr>
        <w:sz w:val="22"/>
      </w:rPr>
      <w:tblPr/>
      <w:tcPr>
        <w:shd w:val="clear" w:color="FFFFFF" w:fill="C9211E" w:themeFill="accent6"/>
      </w:tcPr>
    </w:tblStylePr>
    <w:tblStylePr w:type="firstRow">
      <w:rPr>
        <w:sz w:val="22"/>
      </w:rPr>
      <w:tblPr/>
      <w:tcPr>
        <w:shd w:val="clear" w:color="FFFFFF" w:fill="C9211E" w:themeFill="accent6"/>
      </w:tcPr>
    </w:tblStylePr>
    <w:tblStylePr w:type="lastCol">
      <w:rPr>
        <w:sz w:val="22"/>
      </w:rPr>
      <w:tblPr/>
      <w:tcPr>
        <w:shd w:val="clear" w:color="FFFFFF" w:fill="C9211E" w:themeFill="accent6"/>
      </w:tcPr>
    </w:tblStylePr>
    <w:tblStylePr w:type="lastRow">
      <w:rPr>
        <w:sz w:val="22"/>
      </w:rPr>
      <w:tblPr/>
      <w:tcPr>
        <w:shd w:val="clear" w:color="FFFFFF" w:fill="C9211E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A3FD95" w:themeFill="accent1" w:themeFillTint="50"/>
      </w:tcPr>
    </w:tblStylePr>
    <w:tblStylePr w:type="band2Vert">
      <w:rPr>
        <w:sz w:val="22"/>
      </w:rPr>
      <w:tblPr/>
      <w:tcPr>
        <w:shd w:val="clear" w:color="FFFFFF" w:fill="A3FD95" w:themeFill="accent1" w:themeFillTint="50"/>
      </w:tcPr>
    </w:tblStylePr>
    <w:tblStylePr w:type="firstCol">
      <w:rPr>
        <w:sz w:val="22"/>
      </w:rPr>
      <w:tblPr/>
      <w:tcPr>
        <w:shd w:val="clear" w:color="FFFFFF" w:fill="1CBF04" w:themeFill="accent1" w:themeFillTint="ea"/>
      </w:tcPr>
    </w:tblStylePr>
    <w:tblStylePr w:type="firstRow">
      <w:rPr>
        <w:sz w:val="22"/>
      </w:rPr>
      <w:tblPr/>
      <w:tcPr>
        <w:shd w:val="clear" w:color="FFFFFF" w:fill="1CBF04" w:themeFill="accent1" w:themeFillTint="ea"/>
      </w:tcPr>
    </w:tblStylePr>
    <w:tblStylePr w:type="lastCol">
      <w:rPr>
        <w:sz w:val="22"/>
      </w:rPr>
      <w:tblPr/>
      <w:tcPr>
        <w:shd w:val="clear" w:color="FFFFFF" w:fill="1CBF04" w:themeFill="accent1" w:themeFillTint="ea"/>
      </w:tcPr>
    </w:tblStylePr>
    <w:tblStylePr w:type="lastRow">
      <w:rPr>
        <w:sz w:val="22"/>
      </w:rPr>
      <w:tblPr/>
      <w:tcPr>
        <w:shd w:val="clear" w:color="FFFFFF" w:fill="1CBF04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BDE6FE" w:themeFill="accent2" w:themeFillTint="32"/>
      </w:tcPr>
    </w:tblStylePr>
    <w:tblStylePr w:type="band2Vert">
      <w:rPr>
        <w:sz w:val="22"/>
      </w:rPr>
      <w:tblPr/>
      <w:tcPr>
        <w:shd w:val="clear" w:color="FFFFFF" w:fill="BDE6FE" w:themeFill="accent2" w:themeFillTint="32"/>
      </w:tcPr>
    </w:tblStylePr>
    <w:tblStylePr w:type="firstCol">
      <w:rPr>
        <w:sz w:val="22"/>
      </w:rPr>
      <w:tblPr/>
      <w:tcPr>
        <w:shd w:val="clear" w:color="FFFFFF" w:fill="37B4FB" w:themeFill="accent2" w:themeFillTint="97"/>
      </w:tcPr>
    </w:tblStylePr>
    <w:tblStylePr w:type="firstRow">
      <w:rPr>
        <w:sz w:val="22"/>
      </w:rPr>
      <w:tblPr/>
      <w:tcPr>
        <w:shd w:val="clear" w:color="FFFFFF" w:fill="37B4FB" w:themeFill="accent2" w:themeFillTint="97"/>
      </w:tcPr>
    </w:tblStylePr>
    <w:tblStylePr w:type="lastCol">
      <w:rPr>
        <w:sz w:val="22"/>
      </w:rPr>
      <w:tblPr/>
      <w:tcPr>
        <w:shd w:val="clear" w:color="FFFFFF" w:fill="37B4FB" w:themeFill="accent2" w:themeFillTint="97"/>
      </w:tcPr>
    </w:tblStylePr>
    <w:tblStylePr w:type="lastRow">
      <w:rPr>
        <w:sz w:val="22"/>
      </w:rPr>
      <w:tblPr/>
      <w:tcPr>
        <w:shd w:val="clear" w:color="FFFFFF" w:fill="37B4FB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D3BA" w:themeFill="accent3" w:themeFillTint="34"/>
      </w:tcPr>
    </w:tblStylePr>
    <w:tblStylePr w:type="band2Vert">
      <w:rPr>
        <w:sz w:val="22"/>
      </w:rPr>
      <w:tblPr/>
      <w:tcPr>
        <w:shd w:val="clear" w:color="FFFFFF" w:fill="FED3BA" w:themeFill="accent3" w:themeFillTint="34"/>
      </w:tcPr>
    </w:tblStylePr>
    <w:tblStylePr w:type="firstCol">
      <w:rPr>
        <w:sz w:val="22"/>
      </w:rPr>
      <w:tblPr/>
      <w:tcPr>
        <w:shd w:val="clear" w:color="FFFFFF" w:fill="A43F03" w:themeFill="accent3" w:themeFillTint="fe"/>
      </w:tcPr>
    </w:tblStylePr>
    <w:tblStylePr w:type="firstRow">
      <w:rPr>
        <w:sz w:val="22"/>
      </w:rPr>
      <w:tblPr/>
      <w:tcPr>
        <w:shd w:val="clear" w:color="FFFFFF" w:fill="A43F03" w:themeFill="accent3" w:themeFillTint="fe"/>
      </w:tcPr>
    </w:tblStylePr>
    <w:tblStylePr w:type="lastCol">
      <w:rPr>
        <w:sz w:val="22"/>
      </w:rPr>
      <w:tblPr/>
      <w:tcPr>
        <w:shd w:val="clear" w:color="FFFFFF" w:fill="A43F03" w:themeFill="accent3" w:themeFillTint="fe"/>
      </w:tcPr>
    </w:tblStylePr>
    <w:tblStylePr w:type="lastRow">
      <w:rPr>
        <w:sz w:val="22"/>
      </w:rPr>
      <w:tblPr/>
      <w:tcPr>
        <w:shd w:val="clear" w:color="FFFFFF" w:fill="A43F03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5BAFE" w:themeFill="accent4" w:themeFillTint="34"/>
      </w:tcPr>
    </w:tblStylePr>
    <w:tblStylePr w:type="band2Vert">
      <w:rPr>
        <w:sz w:val="22"/>
      </w:rPr>
      <w:tblPr/>
      <w:tcPr>
        <w:shd w:val="clear" w:color="FFFFFF" w:fill="F5BAFE" w:themeFill="accent4" w:themeFillTint="34"/>
      </w:tcPr>
    </w:tblStylePr>
    <w:tblStylePr w:type="firstCol">
      <w:rPr>
        <w:sz w:val="22"/>
      </w:rPr>
      <w:tblPr/>
      <w:tcPr>
        <w:shd w:val="clear" w:color="FFFFFF" w:fill="E133FB" w:themeFill="accent4" w:themeFillTint="9a"/>
      </w:tcPr>
    </w:tblStylePr>
    <w:tblStylePr w:type="firstRow">
      <w:rPr>
        <w:sz w:val="22"/>
      </w:rPr>
      <w:tblPr/>
      <w:tcPr>
        <w:shd w:val="clear" w:color="FFFFFF" w:fill="E133FB" w:themeFill="accent4" w:themeFillTint="9a"/>
      </w:tcPr>
    </w:tblStylePr>
    <w:tblStylePr w:type="lastCol">
      <w:rPr>
        <w:sz w:val="22"/>
      </w:rPr>
      <w:tblPr/>
      <w:tcPr>
        <w:shd w:val="clear" w:color="FFFFFF" w:fill="E133FB" w:themeFill="accent4" w:themeFillTint="9a"/>
      </w:tcPr>
    </w:tblStylePr>
    <w:tblStylePr w:type="lastRow">
      <w:rPr>
        <w:sz w:val="22"/>
      </w:rPr>
      <w:tblPr/>
      <w:tcPr>
        <w:shd w:val="clear" w:color="FFFFFF" w:fill="E133FB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1C0" w:themeFill="accent5" w:themeFillTint="34"/>
      </w:tcPr>
    </w:tblStylePr>
    <w:tblStylePr w:type="band2Vert">
      <w:rPr>
        <w:sz w:val="22"/>
      </w:rPr>
      <w:tblPr/>
      <w:tcPr>
        <w:shd w:val="clear" w:color="FFFFFF" w:fill="FFF1C0" w:themeFill="accent5" w:themeFillTint="34"/>
      </w:tcPr>
    </w:tblStylePr>
    <w:tblStylePr w:type="firstCol">
      <w:rPr>
        <w:sz w:val="22"/>
      </w:rPr>
      <w:tblPr/>
      <w:tcPr>
        <w:shd w:val="clear" w:color="FFFFFF" w:fill="C99C00" w:themeFill="accent5"/>
      </w:tcPr>
    </w:tblStylePr>
    <w:tblStylePr w:type="firstRow">
      <w:rPr>
        <w:sz w:val="22"/>
      </w:rPr>
      <w:tblPr/>
      <w:tcPr>
        <w:shd w:val="clear" w:color="FFFFFF" w:fill="C99C00" w:themeFill="accent5"/>
      </w:tcPr>
    </w:tblStylePr>
    <w:tblStylePr w:type="lastCol">
      <w:rPr>
        <w:sz w:val="22"/>
      </w:rPr>
      <w:tblPr/>
      <w:tcPr>
        <w:shd w:val="clear" w:color="FFFFFF" w:fill="C99C00" w:themeFill="accent5"/>
      </w:tcPr>
    </w:tblStylePr>
    <w:tblStylePr w:type="lastRow">
      <w:rPr>
        <w:sz w:val="22"/>
      </w:rPr>
      <w:tblPr/>
      <w:tcPr>
        <w:shd w:val="clear" w:color="FFFFFF" w:fill="C99C00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 &amp; Lined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8CECD" w:themeFill="accent6" w:themeFillTint="34"/>
      </w:tcPr>
    </w:tblStylePr>
    <w:tblStylePr w:type="band2Vert">
      <w:rPr>
        <w:sz w:val="22"/>
      </w:rPr>
      <w:tblPr/>
      <w:tcPr>
        <w:shd w:val="clear" w:color="FFFFFF" w:fill="F8CECD" w:themeFill="accent6" w:themeFillTint="34"/>
      </w:tcPr>
    </w:tblStylePr>
    <w:tblStylePr w:type="firstCol">
      <w:rPr>
        <w:sz w:val="22"/>
      </w:rPr>
      <w:tblPr/>
      <w:tcPr>
        <w:shd w:val="clear" w:color="FFFFFF" w:fill="C9211E" w:themeFill="accent6"/>
      </w:tcPr>
    </w:tblStylePr>
    <w:tblStylePr w:type="firstRow">
      <w:rPr>
        <w:sz w:val="22"/>
      </w:rPr>
      <w:tblPr/>
      <w:tcPr>
        <w:shd w:val="clear" w:color="FFFFFF" w:fill="C9211E" w:themeFill="accent6"/>
      </w:tcPr>
    </w:tblStylePr>
    <w:tblStylePr w:type="lastCol">
      <w:rPr>
        <w:sz w:val="22"/>
      </w:rPr>
      <w:tblPr/>
      <w:tcPr>
        <w:shd w:val="clear" w:color="FFFFFF" w:fill="C9211E" w:themeFill="accent6"/>
      </w:tcPr>
    </w:tblStylePr>
    <w:tblStylePr w:type="lastRow">
      <w:rPr>
        <w:sz w:val="22"/>
      </w:rPr>
      <w:tblPr/>
      <w:tcPr>
        <w:shd w:val="clear" w:color="FFFFFF" w:fill="C9211E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1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2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3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4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5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7">
    <w:name w:val="Bordered - Accent 6"/>
    <w:basedOn w:val="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</TotalTime>
  <Application>LibreOffice/25.2.5.2$Windows_X86_64 LibreOffice_project/03d19516eb2e1dd5d4ccd751a0d6f35f35e08022</Application>
  <AppVersion>15.0000</AppVersion>
  <Pages>4</Pages>
  <Words>862</Words>
  <Characters>5579</Characters>
  <CharactersWithSpaces>6349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2026-10-13T10:37:57Z</dcterms:created>
  <dc:creator/>
  <dc:description/>
  <dc:language>pl-PL</dc:language>
  <cp:lastModifiedBy/>
  <cp:lastPrinted>2026-10-16T11:19:48Z</cp:lastPrinted>
  <dcterms:modified xsi:type="dcterms:W3CDTF">2026-10-16T12:57:09Z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